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3D662">
      <w:pP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附件1</w:t>
      </w:r>
      <w:r>
        <w:rPr>
          <w:rFonts w:ascii="宋体" w:hAnsi="宋体" w:eastAsia="宋体" w:cs="Times New Roman"/>
          <w:b/>
          <w:bCs/>
          <w:sz w:val="28"/>
          <w:szCs w:val="28"/>
        </w:rPr>
        <w:t xml:space="preserve">  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研讨课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8"/>
          <w:szCs w:val="28"/>
        </w:rPr>
        <w:t>需报送材料</w:t>
      </w: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 xml:space="preserve"> </w:t>
      </w:r>
    </w:p>
    <w:p w14:paraId="77B182C4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3E1853AE">
      <w:pPr>
        <w:spacing w:line="300" w:lineRule="auto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研讨课评分标准</w:t>
      </w:r>
    </w:p>
    <w:p w14:paraId="76B84781">
      <w:pPr>
        <w:adjustRightInd w:val="0"/>
        <w:snapToGrid w:val="0"/>
        <w:spacing w:before="50" w:after="50" w:line="300" w:lineRule="auto"/>
        <w:rPr>
          <w:rFonts w:hint="eastAsia" w:ascii="Times New Roman" w:hAnsi="Times New Roman" w:eastAsia="宋体" w:cs="Times New Roman"/>
          <w:sz w:val="24"/>
          <w:szCs w:val="20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9"/>
        <w:gridCol w:w="3915"/>
        <w:gridCol w:w="2318"/>
      </w:tblGrid>
      <w:tr w14:paraId="137FD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89" w:type="dxa"/>
            <w:shd w:val="clear" w:color="auto" w:fill="C0C0C0"/>
            <w:vAlign w:val="center"/>
          </w:tcPr>
          <w:p w14:paraId="3C343C31"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0"/>
              </w:rPr>
              <w:t>评  分  指  标</w:t>
            </w:r>
          </w:p>
        </w:tc>
        <w:tc>
          <w:tcPr>
            <w:tcW w:w="3915" w:type="dxa"/>
            <w:shd w:val="clear" w:color="auto" w:fill="C0C0C0"/>
            <w:vAlign w:val="center"/>
          </w:tcPr>
          <w:p w14:paraId="57A8EC20"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0"/>
              </w:rPr>
              <w:t>评   分   标   准</w:t>
            </w:r>
          </w:p>
        </w:tc>
        <w:tc>
          <w:tcPr>
            <w:tcW w:w="2318" w:type="dxa"/>
            <w:shd w:val="clear" w:color="auto" w:fill="C0C0C0"/>
            <w:vAlign w:val="center"/>
          </w:tcPr>
          <w:p w14:paraId="3768D73C"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0"/>
              </w:rPr>
              <w:t>分  值</w:t>
            </w:r>
          </w:p>
        </w:tc>
      </w:tr>
      <w:tr w14:paraId="08392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1AC11AEB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教学分析</w:t>
            </w:r>
          </w:p>
        </w:tc>
        <w:tc>
          <w:tcPr>
            <w:tcW w:w="3915" w:type="dxa"/>
            <w:vAlign w:val="center"/>
          </w:tcPr>
          <w:p w14:paraId="1E3FAC08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合理       □4-5分</w:t>
            </w:r>
          </w:p>
          <w:p w14:paraId="41083B97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比较合理   □3分</w:t>
            </w:r>
          </w:p>
          <w:p w14:paraId="58B82144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基本合理   □1-2分</w:t>
            </w:r>
          </w:p>
        </w:tc>
        <w:tc>
          <w:tcPr>
            <w:tcW w:w="2318" w:type="dxa"/>
            <w:vAlign w:val="center"/>
          </w:tcPr>
          <w:p w14:paraId="516609B0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5分</w:t>
            </w:r>
          </w:p>
        </w:tc>
      </w:tr>
      <w:tr w14:paraId="6AE02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3224DBEE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教学目标</w:t>
            </w:r>
          </w:p>
        </w:tc>
        <w:tc>
          <w:tcPr>
            <w:tcW w:w="3915" w:type="dxa"/>
            <w:vAlign w:val="center"/>
          </w:tcPr>
          <w:p w14:paraId="5802C336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合理       □12-15分</w:t>
            </w:r>
          </w:p>
          <w:p w14:paraId="4A83B4E6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比较合理   □8-11分</w:t>
            </w:r>
          </w:p>
          <w:p w14:paraId="44B14B5C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基本合理   □4-7分</w:t>
            </w:r>
          </w:p>
        </w:tc>
        <w:tc>
          <w:tcPr>
            <w:tcW w:w="2318" w:type="dxa"/>
            <w:vAlign w:val="center"/>
          </w:tcPr>
          <w:p w14:paraId="6DEE3D89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15分</w:t>
            </w:r>
          </w:p>
        </w:tc>
      </w:tr>
      <w:tr w14:paraId="2F6D1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7DD4A6E2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教学重难点</w:t>
            </w:r>
          </w:p>
        </w:tc>
        <w:tc>
          <w:tcPr>
            <w:tcW w:w="3915" w:type="dxa"/>
            <w:vAlign w:val="center"/>
          </w:tcPr>
          <w:p w14:paraId="7103FF82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合理       □4-5分</w:t>
            </w:r>
          </w:p>
          <w:p w14:paraId="51FA368B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比较合理   □3分</w:t>
            </w:r>
          </w:p>
          <w:p w14:paraId="181AF9B9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基本合理   □1-2分</w:t>
            </w:r>
          </w:p>
        </w:tc>
        <w:tc>
          <w:tcPr>
            <w:tcW w:w="2318" w:type="dxa"/>
            <w:vAlign w:val="center"/>
          </w:tcPr>
          <w:p w14:paraId="027D54C0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5分</w:t>
            </w:r>
          </w:p>
        </w:tc>
      </w:tr>
      <w:tr w14:paraId="645BA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73871F9C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教学方法</w:t>
            </w:r>
          </w:p>
        </w:tc>
        <w:tc>
          <w:tcPr>
            <w:tcW w:w="3915" w:type="dxa"/>
            <w:vAlign w:val="center"/>
          </w:tcPr>
          <w:p w14:paraId="7B9F9227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合理       □12-15分</w:t>
            </w:r>
          </w:p>
          <w:p w14:paraId="761787EE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比较合理   □8-11分</w:t>
            </w:r>
          </w:p>
          <w:p w14:paraId="3DB158C5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基本合理   □4-7分</w:t>
            </w:r>
          </w:p>
        </w:tc>
        <w:tc>
          <w:tcPr>
            <w:tcW w:w="2318" w:type="dxa"/>
            <w:vAlign w:val="center"/>
          </w:tcPr>
          <w:p w14:paraId="2D3ABCE6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15分</w:t>
            </w:r>
          </w:p>
        </w:tc>
      </w:tr>
      <w:tr w14:paraId="6A0C9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432A93FD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教学过程</w:t>
            </w:r>
          </w:p>
        </w:tc>
        <w:tc>
          <w:tcPr>
            <w:tcW w:w="3915" w:type="dxa"/>
            <w:vAlign w:val="center"/>
          </w:tcPr>
          <w:p w14:paraId="2DD403B8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合理       □8-10分</w:t>
            </w:r>
          </w:p>
          <w:p w14:paraId="308783E5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比较合理   □5-7分</w:t>
            </w:r>
          </w:p>
          <w:p w14:paraId="292B6C28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基本合理   □2-4分</w:t>
            </w:r>
          </w:p>
        </w:tc>
        <w:tc>
          <w:tcPr>
            <w:tcW w:w="2318" w:type="dxa"/>
            <w:vAlign w:val="center"/>
          </w:tcPr>
          <w:p w14:paraId="697BFE75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10分</w:t>
            </w:r>
          </w:p>
        </w:tc>
      </w:tr>
      <w:tr w14:paraId="25520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17D2EAF7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融合点诊断</w:t>
            </w:r>
          </w:p>
        </w:tc>
        <w:tc>
          <w:tcPr>
            <w:tcW w:w="3915" w:type="dxa"/>
            <w:vAlign w:val="center"/>
          </w:tcPr>
          <w:p w14:paraId="44064395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合理       □8-10分</w:t>
            </w:r>
          </w:p>
          <w:p w14:paraId="650A769A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比较合理   □5-7分</w:t>
            </w:r>
          </w:p>
          <w:p w14:paraId="43898442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基本合理   □2-4分</w:t>
            </w:r>
          </w:p>
        </w:tc>
        <w:tc>
          <w:tcPr>
            <w:tcW w:w="2318" w:type="dxa"/>
            <w:vAlign w:val="center"/>
          </w:tcPr>
          <w:p w14:paraId="077C9B70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10分</w:t>
            </w:r>
          </w:p>
        </w:tc>
      </w:tr>
      <w:tr w14:paraId="31E05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4EEFBBA7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融合点解决方法</w:t>
            </w:r>
          </w:p>
        </w:tc>
        <w:tc>
          <w:tcPr>
            <w:tcW w:w="3915" w:type="dxa"/>
            <w:vAlign w:val="center"/>
          </w:tcPr>
          <w:p w14:paraId="7A3BA7E3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合理       □12-15分</w:t>
            </w:r>
          </w:p>
          <w:p w14:paraId="5B17EA74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比较合理   □8-11分</w:t>
            </w:r>
          </w:p>
          <w:p w14:paraId="67562DF7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基本合理   □4-7分</w:t>
            </w:r>
          </w:p>
        </w:tc>
        <w:tc>
          <w:tcPr>
            <w:tcW w:w="2318" w:type="dxa"/>
            <w:vAlign w:val="center"/>
          </w:tcPr>
          <w:p w14:paraId="5CFB56E0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15分</w:t>
            </w:r>
          </w:p>
        </w:tc>
      </w:tr>
      <w:tr w14:paraId="62E8B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30249173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资源、软件、网络学习空间及应用效果</w:t>
            </w:r>
          </w:p>
        </w:tc>
        <w:tc>
          <w:tcPr>
            <w:tcW w:w="3915" w:type="dxa"/>
            <w:vAlign w:val="center"/>
          </w:tcPr>
          <w:p w14:paraId="15111CF2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有效       □20-25分</w:t>
            </w:r>
          </w:p>
          <w:p w14:paraId="0B7F4F39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比较有效   □13-19分</w:t>
            </w:r>
          </w:p>
          <w:p w14:paraId="0219A7EE">
            <w:pPr>
              <w:spacing w:line="30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基本有效   □7-12分</w:t>
            </w:r>
          </w:p>
        </w:tc>
        <w:tc>
          <w:tcPr>
            <w:tcW w:w="2318" w:type="dxa"/>
            <w:vAlign w:val="center"/>
          </w:tcPr>
          <w:p w14:paraId="2048AE86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25分</w:t>
            </w:r>
          </w:p>
        </w:tc>
      </w:tr>
    </w:tbl>
    <w:p w14:paraId="409D13DA">
      <w:pPr>
        <w:spacing w:before="156" w:beforeLines="50" w:after="156" w:afterLines="50" w:line="300" w:lineRule="auto"/>
        <w:ind w:firstLine="562" w:firstLineChars="200"/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3FB4EB84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3ECF6111">
      <w:pPr>
        <w:adjustRightInd w:val="0"/>
        <w:snapToGrid w:val="0"/>
        <w:spacing w:before="156" w:beforeLines="50" w:after="156" w:afterLines="50" w:line="300" w:lineRule="auto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教学设计模板</w:t>
      </w:r>
    </w:p>
    <w:tbl>
      <w:tblPr>
        <w:tblStyle w:val="4"/>
        <w:tblW w:w="9720" w:type="dxa"/>
        <w:tblInd w:w="-432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2"/>
        <w:gridCol w:w="3379"/>
        <w:gridCol w:w="1660"/>
        <w:gridCol w:w="2699"/>
      </w:tblGrid>
      <w:tr w14:paraId="46DB8F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982" w:type="dxa"/>
            <w:vAlign w:val="center"/>
          </w:tcPr>
          <w:p w14:paraId="54789614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学校名称</w:t>
            </w:r>
          </w:p>
        </w:tc>
        <w:tc>
          <w:tcPr>
            <w:tcW w:w="7738" w:type="dxa"/>
            <w:gridSpan w:val="3"/>
            <w:vAlign w:val="center"/>
          </w:tcPr>
          <w:p w14:paraId="5CADD122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20C084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982" w:type="dxa"/>
            <w:vAlign w:val="center"/>
          </w:tcPr>
          <w:p w14:paraId="781E8DD8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课例名称</w:t>
            </w:r>
          </w:p>
        </w:tc>
        <w:tc>
          <w:tcPr>
            <w:tcW w:w="3379" w:type="dxa"/>
            <w:vAlign w:val="center"/>
          </w:tcPr>
          <w:p w14:paraId="2EFBF103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140FD2C6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教师姓名</w:t>
            </w:r>
          </w:p>
        </w:tc>
        <w:tc>
          <w:tcPr>
            <w:tcW w:w="2699" w:type="dxa"/>
            <w:vAlign w:val="center"/>
          </w:tcPr>
          <w:p w14:paraId="75145167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2E3DD70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982" w:type="dxa"/>
            <w:vAlign w:val="center"/>
          </w:tcPr>
          <w:p w14:paraId="354A1E96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学段学科</w:t>
            </w:r>
          </w:p>
        </w:tc>
        <w:tc>
          <w:tcPr>
            <w:tcW w:w="3379" w:type="dxa"/>
            <w:vAlign w:val="center"/>
          </w:tcPr>
          <w:p w14:paraId="3FE709C3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6558470B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教材版本</w:t>
            </w:r>
          </w:p>
        </w:tc>
        <w:tc>
          <w:tcPr>
            <w:tcW w:w="2699" w:type="dxa"/>
            <w:vAlign w:val="center"/>
          </w:tcPr>
          <w:p w14:paraId="6120E700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12813D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982" w:type="dxa"/>
            <w:vAlign w:val="center"/>
          </w:tcPr>
          <w:p w14:paraId="0E1E74C3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章节</w:t>
            </w:r>
          </w:p>
        </w:tc>
        <w:tc>
          <w:tcPr>
            <w:tcW w:w="3379" w:type="dxa"/>
            <w:vAlign w:val="center"/>
          </w:tcPr>
          <w:p w14:paraId="10F399C1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2D03EFD6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年级</w:t>
            </w:r>
          </w:p>
        </w:tc>
        <w:tc>
          <w:tcPr>
            <w:tcW w:w="2699" w:type="dxa"/>
            <w:vAlign w:val="center"/>
          </w:tcPr>
          <w:p w14:paraId="3D26C894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527FA6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982" w:type="dxa"/>
            <w:vAlign w:val="center"/>
          </w:tcPr>
          <w:p w14:paraId="0D9B63D9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教学目标</w:t>
            </w:r>
          </w:p>
        </w:tc>
        <w:tc>
          <w:tcPr>
            <w:tcW w:w="7738" w:type="dxa"/>
            <w:gridSpan w:val="3"/>
          </w:tcPr>
          <w:p w14:paraId="0ED3E9C9">
            <w:pPr>
              <w:adjustRightInd w:val="0"/>
              <w:snapToGrid w:val="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1.</w:t>
            </w:r>
            <w:r>
              <w:rPr>
                <w:rFonts w:hint="eastAsia" w:ascii="宋体" w:hAnsi="宋体" w:eastAsia="宋体" w:cs="Times New Roman"/>
                <w:szCs w:val="21"/>
              </w:rPr>
              <w:t>在立德树人的前提下，应充分考虑到与生活实际的联系，应尽可能以问题和任务为线索建立知识体系，形成学科完整能力，应可测量。</w:t>
            </w:r>
          </w:p>
          <w:p w14:paraId="295B15FC">
            <w:pPr>
              <w:adjustRightInd w:val="0"/>
              <w:snapToGrid w:val="0"/>
              <w:rPr>
                <w:rFonts w:ascii="宋体" w:hAnsi="宋体" w:eastAsia="宋体" w:cs="Times New Roman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2.应充分体现学生思维经验的积累，特别是系统与创新思维能力培养。</w:t>
            </w:r>
          </w:p>
        </w:tc>
      </w:tr>
      <w:tr w14:paraId="587F30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982" w:type="dxa"/>
            <w:vAlign w:val="center"/>
          </w:tcPr>
          <w:p w14:paraId="06ECDA3D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教学重难点</w:t>
            </w:r>
          </w:p>
        </w:tc>
        <w:tc>
          <w:tcPr>
            <w:tcW w:w="7738" w:type="dxa"/>
            <w:gridSpan w:val="3"/>
            <w:vAlign w:val="center"/>
          </w:tcPr>
          <w:p w14:paraId="6ADD5CF4">
            <w:pPr>
              <w:adjustRightInd w:val="0"/>
              <w:snapToGrid w:val="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1.教学重点应是核心学习内容，学生须理解、掌握、熟练应用，直至达到综合应用、触类旁通和自我评价程度。</w:t>
            </w:r>
          </w:p>
          <w:p w14:paraId="64C3FB29">
            <w:pPr>
              <w:adjustRightInd w:val="0"/>
              <w:snapToGrid w:val="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2.教学难点应是对所教班级学生而言，大多数学生理解、掌握和形成应用能力有难度的点，不容易实现的培养目标。</w:t>
            </w:r>
          </w:p>
          <w:p w14:paraId="04877E04">
            <w:pPr>
              <w:adjustRightInd w:val="0"/>
              <w:snapToGrid w:val="0"/>
              <w:rPr>
                <w:rFonts w:ascii="宋体" w:hAnsi="宋体" w:eastAsia="宋体" w:cs="Times New Roman"/>
                <w:sz w:val="30"/>
                <w:szCs w:val="30"/>
              </w:rPr>
            </w:pPr>
          </w:p>
        </w:tc>
      </w:tr>
      <w:tr w14:paraId="09FD27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1982" w:type="dxa"/>
            <w:vAlign w:val="center"/>
          </w:tcPr>
          <w:p w14:paraId="61AD4304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学情分析</w:t>
            </w:r>
          </w:p>
        </w:tc>
        <w:tc>
          <w:tcPr>
            <w:tcW w:w="7738" w:type="dxa"/>
            <w:gridSpan w:val="3"/>
            <w:vAlign w:val="center"/>
          </w:tcPr>
          <w:p w14:paraId="1E6DC9E5">
            <w:pPr>
              <w:adjustRightInd w:val="0"/>
              <w:snapToGrid w:val="0"/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学生的认知规律与特点、已有知识与经验基础、思维能力水平等。</w:t>
            </w:r>
          </w:p>
          <w:p w14:paraId="656AD0FC">
            <w:pPr>
              <w:adjustRightInd w:val="0"/>
              <w:snapToGrid w:val="0"/>
              <w:jc w:val="left"/>
              <w:rPr>
                <w:rFonts w:ascii="宋体" w:hAnsi="宋体" w:eastAsia="宋体" w:cs="Times New Roman"/>
                <w:szCs w:val="21"/>
              </w:rPr>
            </w:pPr>
          </w:p>
          <w:p w14:paraId="29DDCE35"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 w14:paraId="0A659E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6" w:hRule="atLeast"/>
        </w:trPr>
        <w:tc>
          <w:tcPr>
            <w:tcW w:w="1982" w:type="dxa"/>
            <w:vAlign w:val="center"/>
          </w:tcPr>
          <w:p w14:paraId="11C36218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教学方法</w:t>
            </w:r>
          </w:p>
        </w:tc>
        <w:tc>
          <w:tcPr>
            <w:tcW w:w="7738" w:type="dxa"/>
            <w:gridSpan w:val="3"/>
          </w:tcPr>
          <w:p w14:paraId="1D428A22">
            <w:pPr>
              <w:adjustRightInd w:val="0"/>
              <w:snapToGrid w:val="0"/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1.应体现智慧教育的基本理念和方法，应尽可能让学生自主、合作、探究学习；</w:t>
            </w:r>
          </w:p>
          <w:p w14:paraId="56EFA479">
            <w:pPr>
              <w:adjustRightInd w:val="0"/>
              <w:snapToGrid w:val="0"/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2.应充分运用信息技术支持知识深度理解与体验、感悟与探究，以及基于数据的教学调控与个性化学习。</w:t>
            </w:r>
          </w:p>
          <w:p w14:paraId="2F63BEC8">
            <w:pPr>
              <w:adjustRightInd w:val="0"/>
              <w:snapToGrid w:val="0"/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3.要充分考虑到电子白板、交互电视、电子书包等不同信息化环境的差异，要充分发挥云平台、数字校园和智慧教室的作用。</w:t>
            </w:r>
          </w:p>
          <w:p w14:paraId="44C56547">
            <w:pPr>
              <w:adjustRightInd w:val="0"/>
              <w:snapToGrid w:val="0"/>
              <w:jc w:val="left"/>
              <w:rPr>
                <w:rFonts w:hint="eastAsia" w:ascii="宋体" w:hAnsi="宋体" w:eastAsia="宋体" w:cs="Times New Roman"/>
                <w:szCs w:val="20"/>
              </w:rPr>
            </w:pPr>
          </w:p>
        </w:tc>
      </w:tr>
      <w:tr w14:paraId="5824C98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</w:trPr>
        <w:tc>
          <w:tcPr>
            <w:tcW w:w="1982" w:type="dxa"/>
            <w:tcBorders>
              <w:bottom w:val="single" w:color="auto" w:sz="4" w:space="0"/>
              <w:right w:val="single" w:color="auto" w:sz="4" w:space="0"/>
            </w:tcBorders>
          </w:tcPr>
          <w:p w14:paraId="316F5792">
            <w:pPr>
              <w:rPr>
                <w:rFonts w:ascii="宋体" w:hAnsi="宋体" w:eastAsia="宋体" w:cs="Times New Roman"/>
                <w:szCs w:val="20"/>
              </w:rPr>
            </w:pPr>
          </w:p>
          <w:p w14:paraId="55304652">
            <w:pPr>
              <w:rPr>
                <w:rFonts w:ascii="宋体" w:hAnsi="宋体" w:eastAsia="宋体" w:cs="Times New Roman"/>
                <w:szCs w:val="20"/>
              </w:rPr>
            </w:pPr>
          </w:p>
          <w:p w14:paraId="6950786E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  <w:p w14:paraId="61C8A736">
            <w:pPr>
              <w:jc w:val="center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教学过程</w:t>
            </w:r>
          </w:p>
        </w:tc>
        <w:tc>
          <w:tcPr>
            <w:tcW w:w="7738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 w14:paraId="6BDB0DF9">
            <w:pPr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1.给出完整的教学流程图。</w:t>
            </w:r>
          </w:p>
          <w:p w14:paraId="0F2BD03F">
            <w:pPr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2.对每个教学重点要有突出的活动安排，每个难点要有突破的活动安排。</w:t>
            </w:r>
          </w:p>
          <w:p w14:paraId="05DD4FE2">
            <w:pPr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3.教学活动应尽可能任务化，有完整连续任务情境和体现能力成果的学习活动。</w:t>
            </w:r>
          </w:p>
          <w:p w14:paraId="7B36A12A">
            <w:pPr>
              <w:jc w:val="left"/>
              <w:rPr>
                <w:rFonts w:hint="eastAsia"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4.</w:t>
            </w:r>
            <w:r>
              <w:rPr>
                <w:rFonts w:hint="eastAsia" w:ascii="宋体" w:hAnsi="宋体" w:eastAsia="宋体" w:cs="Times New Roman"/>
                <w:szCs w:val="21"/>
              </w:rPr>
              <w:t>应尽可能运用资源与工具软件支持教学活动和学生智慧培养，要尽可能运用网络学习空间开展教学活动。</w:t>
            </w:r>
          </w:p>
        </w:tc>
      </w:tr>
      <w:tr w14:paraId="498D86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</w:trPr>
        <w:tc>
          <w:tcPr>
            <w:tcW w:w="198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3EBF87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教学反思</w:t>
            </w:r>
          </w:p>
        </w:tc>
        <w:tc>
          <w:tcPr>
            <w:tcW w:w="7738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 w14:paraId="20227480">
            <w:pPr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1.影响教学效果的主要原因是什么？（例如任务设计的不合理、资源软件应用的不恰当等）</w:t>
            </w:r>
          </w:p>
          <w:p w14:paraId="40A5864F">
            <w:pPr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2. 为了进一步突出重点突破难点，设计怎样的任务情境会更有效?</w:t>
            </w:r>
          </w:p>
          <w:p w14:paraId="0995686C">
            <w:pPr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3. 为了进一步突出重点突破难点，设计怎样的学习活动会更有效?</w:t>
            </w:r>
          </w:p>
          <w:p w14:paraId="58B2B7F5">
            <w:pPr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4. 为了进一步突出重点突破难点，应用怎样的资源或软件会更有效?</w:t>
            </w:r>
          </w:p>
        </w:tc>
      </w:tr>
    </w:tbl>
    <w:p w14:paraId="6A186961">
      <w:pPr>
        <w:spacing w:line="30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0"/>
        </w:rPr>
      </w:pPr>
    </w:p>
    <w:p w14:paraId="510F5C44">
      <w:pPr>
        <w:spacing w:line="30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0"/>
        </w:rPr>
      </w:pPr>
    </w:p>
    <w:p w14:paraId="7BC2B312">
      <w:pPr>
        <w:spacing w:before="156" w:beforeLines="50" w:after="156" w:afterLines="50" w:line="300" w:lineRule="auto"/>
        <w:ind w:firstLine="562" w:firstLineChars="200"/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2585AAA8"/>
    <w:p w14:paraId="6F9B06D8">
      <w:pPr>
        <w:spacing w:before="156" w:beforeLines="50" w:after="156" w:afterLines="50" w:line="300" w:lineRule="auto"/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教学资源技术规范</w:t>
      </w:r>
    </w:p>
    <w:p w14:paraId="14DF31DC">
      <w:pPr>
        <w:spacing w:before="156" w:beforeLines="50" w:after="156" w:afterLines="50" w:line="400" w:lineRule="exact"/>
        <w:ind w:firstLine="482" w:firstLineChars="200"/>
        <w:rPr>
          <w:rFonts w:hint="eastAsia"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一、命名规范</w:t>
      </w:r>
    </w:p>
    <w:p w14:paraId="571439B9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文件命名标准统一，均以《课题名称》+教师姓名+空格+资源类型命名。</w:t>
      </w:r>
    </w:p>
    <w:p w14:paraId="1B7F3330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如：《一次函数的图象与性质》李明 教学设计</w:t>
      </w:r>
    </w:p>
    <w:p w14:paraId="10E3526C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《一次函数的图象与性质》李明 说课课件</w:t>
      </w:r>
    </w:p>
    <w:p w14:paraId="32B19F76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《一次函数的图象与性质》李明 说课实录</w:t>
      </w:r>
    </w:p>
    <w:p w14:paraId="70905396">
      <w:pPr>
        <w:spacing w:before="156" w:beforeLines="50" w:after="156" w:afterLines="50" w:line="400" w:lineRule="exact"/>
        <w:ind w:firstLine="482" w:firstLineChars="200"/>
        <w:rPr>
          <w:rFonts w:hint="eastAsia" w:ascii="宋体" w:hAnsi="宋体" w:eastAsia="宋体" w:cs="Times New Roman"/>
          <w:b/>
          <w:sz w:val="24"/>
          <w:szCs w:val="20"/>
        </w:rPr>
      </w:pPr>
      <w:r>
        <w:rPr>
          <w:rFonts w:hint="eastAsia" w:ascii="宋体" w:hAnsi="宋体" w:eastAsia="宋体" w:cs="Times New Roman"/>
          <w:b/>
          <w:sz w:val="24"/>
          <w:szCs w:val="20"/>
        </w:rPr>
        <w:t>二、文本——教学设计</w:t>
      </w:r>
    </w:p>
    <w:p w14:paraId="22480B61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1．一节课的教学设计应包括教学内容分析，教学对象分析，教学目标，教学重点、难点分析及解决办法，教学过程等方面。</w:t>
      </w:r>
    </w:p>
    <w:p w14:paraId="2E8DA7F3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 Microsoft Office Word 2013版本。纸张为A4；页面大小要求A4标准页面，上下边距要求2.54厘米，左右边距要求3.18厘米（即Microsoft Office Word默认格式），纵向纸张方向。</w:t>
      </w:r>
    </w:p>
    <w:p w14:paraId="34054595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3．页码位置：页面底端（页脚）；对齐方式：居中；格式：1，2，3……</w:t>
      </w:r>
    </w:p>
    <w:p w14:paraId="30FCDC8F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4．主标题为宋体或黑体（英文：Times New Roman）三号字加粗居中，中文课题名称要加书名号，段前、段后1倍行间距。</w:t>
      </w:r>
    </w:p>
    <w:p w14:paraId="3ACD1BF2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5．内容各级标题序号依次为一，（一），</w:t>
      </w:r>
      <w:r>
        <w:rPr>
          <w:rFonts w:ascii="宋体" w:hAnsi="宋体" w:eastAsia="宋体" w:cs="Times New Roman"/>
          <w:sz w:val="24"/>
          <w:szCs w:val="20"/>
        </w:rPr>
        <w:t>1</w:t>
      </w:r>
      <w:r>
        <w:rPr>
          <w:rFonts w:hint="eastAsia" w:ascii="宋体" w:hAnsi="宋体" w:eastAsia="宋体" w:cs="Times New Roman"/>
          <w:sz w:val="24"/>
          <w:szCs w:val="20"/>
        </w:rPr>
        <w:t>，（</w:t>
      </w:r>
      <w:r>
        <w:rPr>
          <w:rFonts w:ascii="宋体" w:hAnsi="宋体" w:eastAsia="宋体" w:cs="Times New Roman"/>
          <w:sz w:val="24"/>
          <w:szCs w:val="20"/>
        </w:rPr>
        <w:t>1</w:t>
      </w:r>
      <w:r>
        <w:rPr>
          <w:rFonts w:hint="eastAsia" w:ascii="宋体" w:hAnsi="宋体" w:eastAsia="宋体" w:cs="Times New Roman"/>
          <w:sz w:val="24"/>
          <w:szCs w:val="20"/>
        </w:rPr>
        <w:t>），①等。具体要求如下：</w:t>
      </w:r>
    </w:p>
    <w:p w14:paraId="2761AFD2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（1）一级标题顶格，宋体或黑体（英文：Times New Roman）四号字加粗，编号后加顿号，如“一、”；</w:t>
      </w:r>
    </w:p>
    <w:p w14:paraId="429EC049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（2）二级标题首行缩进2字符，宋体（英文：Times New Roman）小四号字加粗，编号括号后不加标点，如：“（一）”为正确，“（一）、”为错误；</w:t>
      </w:r>
    </w:p>
    <w:p w14:paraId="37698F0B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（3）三级标题首行缩进2字符，宋体或楷体（英文：Times New Roman）小四号字加粗，编号后的“圆点”要求为全角（英文排版例外），加“顿号”为错误，如：“</w:t>
      </w:r>
      <w:r>
        <w:rPr>
          <w:rFonts w:ascii="宋体" w:hAnsi="宋体" w:eastAsia="宋体" w:cs="Times New Roman"/>
          <w:sz w:val="24"/>
          <w:szCs w:val="20"/>
        </w:rPr>
        <w:t>1</w:t>
      </w:r>
      <w:r>
        <w:rPr>
          <w:rFonts w:hint="eastAsia" w:ascii="宋体" w:hAnsi="宋体" w:eastAsia="宋体" w:cs="Times New Roman"/>
          <w:sz w:val="24"/>
          <w:szCs w:val="20"/>
        </w:rPr>
        <w:t>．”为正确，“</w:t>
      </w:r>
      <w:r>
        <w:rPr>
          <w:rFonts w:ascii="宋体" w:hAnsi="宋体" w:eastAsia="宋体" w:cs="Times New Roman"/>
          <w:sz w:val="24"/>
          <w:szCs w:val="20"/>
        </w:rPr>
        <w:t xml:space="preserve"> 1</w:t>
      </w:r>
      <w:r>
        <w:rPr>
          <w:rFonts w:hint="eastAsia" w:ascii="宋体" w:hAnsi="宋体" w:eastAsia="宋体" w:cs="Times New Roman"/>
          <w:sz w:val="24"/>
          <w:szCs w:val="20"/>
        </w:rPr>
        <w:t>.”“</w:t>
      </w:r>
      <w:r>
        <w:rPr>
          <w:rFonts w:ascii="宋体" w:hAnsi="宋体" w:eastAsia="宋体" w:cs="Times New Roman"/>
          <w:sz w:val="24"/>
          <w:szCs w:val="20"/>
        </w:rPr>
        <w:t xml:space="preserve"> 1</w:t>
      </w:r>
      <w:r>
        <w:rPr>
          <w:rFonts w:hint="eastAsia" w:ascii="宋体" w:hAnsi="宋体" w:eastAsia="宋体" w:cs="Times New Roman"/>
          <w:sz w:val="24"/>
          <w:szCs w:val="20"/>
        </w:rPr>
        <w:t>、”都错误；</w:t>
      </w:r>
    </w:p>
    <w:p w14:paraId="1FCA0B23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（4）四级及四级以下标题首行缩进2字符，宋体（英文：Times New Roman）小四号字，其中四级标题序号中的括号为中文全角（英文排版例外），如：“（</w:t>
      </w:r>
      <w:r>
        <w:rPr>
          <w:rFonts w:ascii="宋体" w:hAnsi="宋体" w:eastAsia="宋体" w:cs="Times New Roman"/>
          <w:sz w:val="24"/>
          <w:szCs w:val="20"/>
        </w:rPr>
        <w:t>4</w:t>
      </w:r>
      <w:r>
        <w:rPr>
          <w:rFonts w:hint="eastAsia" w:ascii="宋体" w:hAnsi="宋体" w:eastAsia="宋体" w:cs="Times New Roman"/>
          <w:sz w:val="24"/>
          <w:szCs w:val="20"/>
        </w:rPr>
        <w:t>）”为正确，“</w:t>
      </w:r>
      <w:r>
        <w:rPr>
          <w:rFonts w:ascii="宋体" w:hAnsi="宋体" w:eastAsia="宋体" w:cs="Times New Roman"/>
          <w:sz w:val="24"/>
          <w:szCs w:val="20"/>
        </w:rPr>
        <w:t>(4)</w:t>
      </w:r>
      <w:r>
        <w:rPr>
          <w:rFonts w:hint="eastAsia" w:ascii="宋体" w:hAnsi="宋体" w:eastAsia="宋体" w:cs="Times New Roman"/>
          <w:sz w:val="24"/>
          <w:szCs w:val="20"/>
        </w:rPr>
        <w:t>”为错误；</w:t>
      </w:r>
      <w:r>
        <w:rPr>
          <w:rFonts w:ascii="宋体" w:hAnsi="宋体" w:eastAsia="宋体" w:cs="Times New Roman"/>
          <w:sz w:val="24"/>
          <w:szCs w:val="20"/>
        </w:rPr>
        <w:t xml:space="preserve"> </w:t>
      </w:r>
    </w:p>
    <w:p w14:paraId="522CAF01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（5）标题一般末尾不加标点，如果序号后面的文字是说明内容的，不做标题看待，末尾要有标点。</w:t>
      </w:r>
    </w:p>
    <w:p w14:paraId="787D7E06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6．正文宋体（英文：Times New Roman）小四号字或五号字，</w:t>
      </w:r>
      <w:r>
        <w:rPr>
          <w:rFonts w:ascii="宋体" w:hAnsi="宋体" w:eastAsia="宋体" w:cs="Times New Roman"/>
          <w:sz w:val="24"/>
          <w:szCs w:val="20"/>
        </w:rPr>
        <w:t>1.25</w:t>
      </w:r>
      <w:r>
        <w:rPr>
          <w:rFonts w:hint="eastAsia" w:ascii="宋体" w:hAnsi="宋体" w:eastAsia="宋体" w:cs="Times New Roman"/>
          <w:sz w:val="24"/>
          <w:szCs w:val="20"/>
        </w:rPr>
        <w:t>倍行距，段前、段后</w:t>
      </w:r>
      <w:r>
        <w:rPr>
          <w:rFonts w:ascii="宋体" w:hAnsi="宋体" w:eastAsia="宋体" w:cs="Times New Roman"/>
          <w:sz w:val="24"/>
          <w:szCs w:val="20"/>
        </w:rPr>
        <w:t>0.5</w:t>
      </w:r>
      <w:r>
        <w:rPr>
          <w:rFonts w:hint="eastAsia" w:ascii="宋体" w:hAnsi="宋体" w:eastAsia="宋体" w:cs="Times New Roman"/>
          <w:sz w:val="24"/>
          <w:szCs w:val="20"/>
        </w:rPr>
        <w:t>倍行间距，首行缩进2字符。</w:t>
      </w:r>
    </w:p>
    <w:p w14:paraId="6CE389C6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7．图片不能过大，图片标题为宋体或黑体，小四号字或五号字，在图片下方居中。组合图形（如流程图）应采用“组合”格式或画在同一画布上。教学流程图常用的几何图形，并无统一标准。以下所列图例仅供参考，如使用其他图例请标明含义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1"/>
        <w:gridCol w:w="5341"/>
      </w:tblGrid>
      <w:tr w14:paraId="15941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3001" w:type="dxa"/>
          </w:tcPr>
          <w:p w14:paraId="5047969A">
            <w:pPr>
              <w:spacing w:line="400" w:lineRule="exact"/>
              <w:ind w:left="105" w:leftChars="50" w:right="105" w:rightChars="50"/>
              <w:jc w:val="center"/>
              <w:rPr>
                <w:rFonts w:hint="eastAsia" w:ascii="宋体" w:hAnsi="宋体" w:eastAsia="宋体" w:cs="Times New Roman"/>
                <w:b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0"/>
              </w:rPr>
              <w:t>图   例</w:t>
            </w:r>
          </w:p>
        </w:tc>
        <w:tc>
          <w:tcPr>
            <w:tcW w:w="5341" w:type="dxa"/>
          </w:tcPr>
          <w:p w14:paraId="678877B9">
            <w:pPr>
              <w:spacing w:line="400" w:lineRule="exact"/>
              <w:ind w:left="105" w:leftChars="50" w:right="105" w:rightChars="50"/>
              <w:jc w:val="center"/>
              <w:rPr>
                <w:rFonts w:hint="eastAsia" w:ascii="宋体" w:hAnsi="宋体" w:eastAsia="宋体" w:cs="Times New Roman"/>
                <w:b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0"/>
              </w:rPr>
              <w:t>意 义 说 明</w:t>
            </w:r>
          </w:p>
        </w:tc>
      </w:tr>
      <w:tr w14:paraId="2005F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3001" w:type="dxa"/>
            <w:vAlign w:val="center"/>
          </w:tcPr>
          <w:p w14:paraId="77721F82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30480</wp:posOffset>
                  </wp:positionV>
                  <wp:extent cx="1028700" cy="365760"/>
                  <wp:effectExtent l="0" t="0" r="0" b="0"/>
                  <wp:wrapNone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1F775327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开始，结束</w:t>
            </w:r>
          </w:p>
        </w:tc>
      </w:tr>
      <w:tr w14:paraId="5349A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001" w:type="dxa"/>
            <w:vAlign w:val="center"/>
          </w:tcPr>
          <w:p w14:paraId="05D78A5F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  <w:lang w:val="en-US"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5715</wp:posOffset>
                  </wp:positionV>
                  <wp:extent cx="1000125" cy="341630"/>
                  <wp:effectExtent l="0" t="0" r="9525" b="1270"/>
                  <wp:wrapNone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7F97E960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教学内容，教师活动</w:t>
            </w:r>
          </w:p>
        </w:tc>
      </w:tr>
      <w:tr w14:paraId="408CB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001" w:type="dxa"/>
            <w:vAlign w:val="center"/>
          </w:tcPr>
          <w:p w14:paraId="5BC1A620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  <w:lang w:val="en-US"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227330</wp:posOffset>
                  </wp:positionH>
                  <wp:positionV relativeFrom="paragraph">
                    <wp:posOffset>82550</wp:posOffset>
                  </wp:positionV>
                  <wp:extent cx="1038225" cy="211455"/>
                  <wp:effectExtent l="0" t="0" r="9525" b="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4D277B92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学生活动</w:t>
            </w:r>
          </w:p>
        </w:tc>
      </w:tr>
      <w:tr w14:paraId="1C851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3001" w:type="dxa"/>
            <w:vAlign w:val="center"/>
          </w:tcPr>
          <w:p w14:paraId="37101BCB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  <w:lang w:val="en-US" w:eastAsia="zh-CN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112395</wp:posOffset>
                  </wp:positionV>
                  <wp:extent cx="1038225" cy="238125"/>
                  <wp:effectExtent l="0" t="0" r="9525" b="9525"/>
                  <wp:wrapNone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5A00BB77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选择，判断</w:t>
            </w:r>
          </w:p>
        </w:tc>
      </w:tr>
      <w:tr w14:paraId="70DDE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001" w:type="dxa"/>
            <w:vAlign w:val="center"/>
          </w:tcPr>
          <w:p w14:paraId="328D264E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  <w:lang w:val="en-US" w:eastAsia="zh-CN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701675</wp:posOffset>
                  </wp:positionH>
                  <wp:positionV relativeFrom="paragraph">
                    <wp:posOffset>92710</wp:posOffset>
                  </wp:positionV>
                  <wp:extent cx="563880" cy="305435"/>
                  <wp:effectExtent l="0" t="0" r="7620" b="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80" cy="305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宋体" w:cs="Times New Roman"/>
                <w:szCs w:val="20"/>
                <w:lang w:val="en-US" w:eastAsia="zh-CN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356235</wp:posOffset>
                  </wp:positionH>
                  <wp:positionV relativeFrom="paragraph">
                    <wp:posOffset>100965</wp:posOffset>
                  </wp:positionV>
                  <wp:extent cx="400050" cy="302260"/>
                  <wp:effectExtent l="0" t="0" r="0" b="254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35E77170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教师运用教学资源完成教学活动</w:t>
            </w:r>
          </w:p>
        </w:tc>
      </w:tr>
      <w:tr w14:paraId="260E5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001" w:type="dxa"/>
            <w:vAlign w:val="center"/>
          </w:tcPr>
          <w:p w14:paraId="60C12174">
            <w:pPr>
              <w:spacing w:line="400" w:lineRule="exact"/>
              <w:ind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147320</wp:posOffset>
                      </wp:positionV>
                      <wp:extent cx="635" cy="198120"/>
                      <wp:effectExtent l="17780" t="13335" r="10160" b="17145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98120"/>
                              </a:xfrm>
                              <a:prstGeom prst="line">
                                <a:avLst/>
                              </a:prstGeom>
                              <a:noFill/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4.65pt;margin-top:11.6pt;height:15.6pt;width:0.05pt;z-index:251668480;mso-width-relative:page;mso-height-relative:page;" filled="f" stroked="t" coordsize="21600,21600" o:gfxdata="UEsDBAoAAAAAAIdO4kAAAAAAAAAAAAAAAAAEAAAAZHJzL1BLAwQUAAAACACHTuJAz+3LEdcAAAAJ&#10;AQAADwAAAGRycy9kb3ducmV2LnhtbE2PwU7DMBBE70j8g7VI3KjdNEVJGqcSlbj0RqgKRzc2SVR7&#10;HcVu2vw92xMcR/v0Zrbc3pxlkxlD71HCciGAGWy87rGVcPh8f8mAhahQK+vRSJhNgG31+FCqQvsr&#10;fpipji0jCYZCSehiHArOQ9MZp8LCDwbp9uNHpyLFseV6VFeSO8sTIV65Uz1SQ6cGs+tMc64vjizr&#10;r+xtr7LDPNv6O093x/2ETsrnp6XYAIvmFv9guM+n6VDRppO/oA7MUhb5ilAJySoBdgdEngI7SVin&#10;KfCq5P8/qH4BUEsDBBQAAAAIAIdO4kAJXaJK7QEAALcDAAAOAAAAZHJzL2Uyb0RvYy54bWytU8Fu&#10;EzEQvSPxD5bvZJPQVmWVTQ+JyqVApJYPcLzeXQvbY3mcbPIT/AASNzhx5M7fUD6DsTcJpVx6YA+W&#10;ZzzzZt6b2dnVzhq2VQE1uIpPRmPOlJNQa9dW/P3d9YtLzjAKVwsDTlV8r5BfzZ8/m/W+VFPowNQq&#10;MAJxWPa+4l2MviwKlJ2yAkfglaPHBoIVkczQFnUQPaFbU0zH44uih1D7AFIhknc5PPIDYngKIDSN&#10;lmoJcmOViwNqUEZEooSd9sjnudumUTK+axpUkZmKE9OYTypC93U6i/lMlG0QvtPy0IJ4SguPOFmh&#10;HRU9QS1FFGwT9D9QVssACE0cSbDFQCQrQiwm40fa3HbCq8yFpEZ/Eh3/H6x8u10FpuuKn3HmhKWB&#10;33/6/vPjl18/PtN5/+0rO0si9R5Lil24VUg05c7d+huQH5A5WHTCtSo3e7f3hDBJGcVfKclAT6XW&#10;/RuoKUZsImTFdk2wCZK0YLs8mP1pMGoXmSTnxctzziT5J68uJ9M8tUKUx0wfML5WYFm6VNxol0QT&#10;pdjeYEydiPIYktwOrrUxefDGsT6Bjs9pH6T1JAO6NicjGF2nwJSCoV0vTGBbkdYof5kivTwMC7Bx&#10;9VDQuIMCifQg3xrq/SoclaF55s4Ou5cW5qGds//8b/P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z+3LEdcAAAAJAQAADwAAAAAAAAABACAAAAAiAAAAZHJzL2Rvd25yZXYueG1sUEsBAhQAFAAAAAgA&#10;h07iQAldokrtAQAAtwMAAA4AAAAAAAAAAQAgAAAAJgEAAGRycy9lMm9Eb2MueG1sUEsFBgAAAAAG&#10;AAYAWQEAAIUFAAAAAA=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Times New Roman"/>
                <w:sz w:val="24"/>
                <w:szCs w:val="20"/>
                <w:lang w:val="en-US" w:eastAsia="zh-CN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149225</wp:posOffset>
                  </wp:positionV>
                  <wp:extent cx="1038225" cy="211455"/>
                  <wp:effectExtent l="0" t="0" r="9525" b="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76B14D93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学生运用学习资源完成学习活动</w:t>
            </w:r>
          </w:p>
        </w:tc>
      </w:tr>
      <w:tr w14:paraId="7693E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3001" w:type="dxa"/>
            <w:vAlign w:val="center"/>
          </w:tcPr>
          <w:p w14:paraId="0E1EF7FC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  <w:lang w:val="en-US" w:eastAsia="zh-CN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98425</wp:posOffset>
                  </wp:positionV>
                  <wp:extent cx="895350" cy="285750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27972DD6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流程线</w:t>
            </w:r>
          </w:p>
        </w:tc>
      </w:tr>
      <w:tr w14:paraId="3B9E3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3001" w:type="dxa"/>
            <w:tcBorders>
              <w:bottom w:val="single" w:color="auto" w:sz="4" w:space="0"/>
            </w:tcBorders>
            <w:vAlign w:val="center"/>
          </w:tcPr>
          <w:p w14:paraId="2F711DD6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sz w:val="24"/>
                <w:szCs w:val="2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465455</wp:posOffset>
                      </wp:positionH>
                      <wp:positionV relativeFrom="paragraph">
                        <wp:posOffset>47625</wp:posOffset>
                      </wp:positionV>
                      <wp:extent cx="504825" cy="504825"/>
                      <wp:effectExtent l="17780" t="15240" r="10795" b="13335"/>
                      <wp:wrapNone/>
                      <wp:docPr id="1" name="椭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504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6.65pt;margin-top:3.75pt;height:39.75pt;width:39.75pt;z-index:251659264;mso-width-relative:page;mso-height-relative:page;" fillcolor="#FFFFFF" filled="t" stroked="t" coordsize="21600,21600" o:gfxdata="UEsDBAoAAAAAAIdO4kAAAAAAAAAAAAAAAAAEAAAAZHJzL1BLAwQUAAAACACHTuJASG9rOtcAAAAH&#10;AQAADwAAAGRycy9kb3ducmV2LnhtbE2PS0/DMBCE70j8B2uRuCBqt1EfCnF6QKBybYp6duMlSbHX&#10;aew+6K9ne4LTaDWjmW+L5cU7ccIhdoE0jEcKBFIdbEeNhs/N+/MCREyGrHGBUMMPRliW93eFyW04&#10;0xpPVWoEl1DMjYY2pT6XMtYtehNHoUdi7ysM3iQ+h0bawZy53Ds5UWomvemIF1rT42uL9Xd19Bpm&#10;+82qVW77tr0+7dNHtj5U19VB68eHsXoBkfCS/sJww2d0KJlpF45ko3Aa5lnGSdYpiJs9nfAnOw2L&#10;uQJZFvI/f/kLUEsDBBQAAAAIAIdO4kCuaZJdMgIAAHAEAAAOAAAAZHJzL2Uyb0RvYy54bWytVMGO&#10;0zAQvSPxD5bvNGnVwm7UdLVqVYS0wEoLH+A6TmJhe8zYbbp8AF/BkSufBd/BxGlLd+GwB3KIZjLj&#10;N/PejDO/2lvDdgqDBlfy8SjnTDkJlXZNyT9+WL+44CxE4SphwKmS36vArxbPn807X6gJtGAqhYxA&#10;XCg6X/I2Rl9kWZCtsiKMwCtHwRrQikguNlmFoiN0a7JJnr/MOsDKI0gVAn1dDUF+QMSnAEJda6lW&#10;ILdWuTigojIiEqXQah/4InVb10rG93UdVGSm5MQ0pjcVIXvTv7PFXBQNCt9qeWhBPKWFR5ys0I6K&#10;nqBWIgq2Rf0XlNUSIUAdRxJsNhBJihCLcf5Im7tWeJW4kNTBn0QP/w9WvtvdItMVbQJnTlga+K/v&#10;P35++8rGvTadDwWl3Plb7NkFfwPyU2AOlq1wjbpGhK5VoqKOUn724EDvBDrKNt1bqAhabCMkmfY1&#10;2h6QBGD7NI370zTUPjJJH2f59GIy40xS6GBTR5kojoc9hvhagWW9UXJlDI2+10sUYncT4pB9zEr9&#10;g9HVWhuTHGw2S4NsJ2g31unpKVOBcJ5mHOuI3WU+o52R1pNUwTWpyoO8cA6Xp+dfcAhbVw1ljKNq&#10;R40GrTdQ3ZNeCMOi0jUlowX8wllHS0qlP28FKs7MG0eaX46n036rkzOdvZqQg+eRzXlEOElQJY+c&#10;DeYyDjdh61E3LVUaJ1oOrmlOtU4C9v0NXR2apUVMIh0uTb/p537K+vOjWP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G9rOtcAAAAHAQAADwAAAAAAAAABACAAAAAiAAAAZHJzL2Rvd25yZXYueG1s&#10;UEsBAhQAFAAAAAgAh07iQK5pkl0yAgAAcAQAAA4AAAAAAAAAAQAgAAAAJgEAAGRycy9lMm9Eb2Mu&#10;eG1sUEsFBgAAAAAGAAYAWQEAAMoFAAAAAA==&#10;"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5341" w:type="dxa"/>
            <w:tcBorders>
              <w:bottom w:val="single" w:color="auto" w:sz="4" w:space="0"/>
            </w:tcBorders>
            <w:vAlign w:val="center"/>
          </w:tcPr>
          <w:p w14:paraId="634F382F">
            <w:pPr>
              <w:spacing w:line="400" w:lineRule="exact"/>
              <w:ind w:left="105" w:leftChars="50" w:right="105" w:rightChars="50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重要教学内容</w:t>
            </w:r>
          </w:p>
        </w:tc>
      </w:tr>
    </w:tbl>
    <w:p w14:paraId="5B0010BB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8．表格的标题为宋体或黑体（英文：Times New Roman），小四号字或五号字，在表格上方居中；表格内文字标题、内容为宋体（英文：Times New Roman）五号字，单倍行间距。</w:t>
      </w:r>
    </w:p>
    <w:p w14:paraId="508D4006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9．对正文进行说明用“小括号”， 宋体（英文：Times New Roman）小四号字或五号字；教学设计意图用“中括号”（“【】”）， 楷体小四号字或五号字，可放在相对应的教学环节之下。</w:t>
      </w:r>
    </w:p>
    <w:p w14:paraId="6C9D50DD">
      <w:pPr>
        <w:spacing w:before="156" w:beforeLines="50" w:after="156" w:afterLines="50" w:line="400" w:lineRule="exact"/>
        <w:ind w:firstLine="482" w:firstLineChars="200"/>
        <w:rPr>
          <w:rFonts w:hint="eastAsia"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三、图片</w:t>
      </w:r>
    </w:p>
    <w:p w14:paraId="283AFAF1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</w:t>
      </w:r>
      <w:r>
        <w:rPr>
          <w:rFonts w:ascii="宋体" w:hAnsi="宋体" w:eastAsia="宋体" w:cs="Times New Roman"/>
          <w:sz w:val="24"/>
          <w:szCs w:val="20"/>
        </w:rPr>
        <w:t xml:space="preserve">能够在Intel赛扬2.0GHz </w:t>
      </w:r>
      <w:r>
        <w:rPr>
          <w:rFonts w:hint="eastAsia" w:ascii="宋体" w:hAnsi="宋体" w:eastAsia="宋体" w:cs="Times New Roman"/>
          <w:sz w:val="24"/>
          <w:szCs w:val="20"/>
        </w:rPr>
        <w:t>CPU</w:t>
      </w:r>
      <w:r>
        <w:rPr>
          <w:rFonts w:ascii="宋体" w:hAnsi="宋体" w:eastAsia="宋体" w:cs="Times New Roman"/>
          <w:sz w:val="24"/>
          <w:szCs w:val="20"/>
        </w:rPr>
        <w:t>，256MB DDR内存以上配置的计算机上稳定、正常运行。</w:t>
      </w:r>
    </w:p>
    <w:p w14:paraId="75634898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</w:t>
      </w:r>
      <w:r>
        <w:rPr>
          <w:rFonts w:ascii="宋体" w:hAnsi="宋体" w:eastAsia="宋体" w:cs="Times New Roman"/>
          <w:sz w:val="24"/>
          <w:szCs w:val="20"/>
        </w:rPr>
        <w:t>采用国际通行的文件格式（</w:t>
      </w:r>
      <w:r>
        <w:rPr>
          <w:rFonts w:hint="eastAsia" w:ascii="宋体" w:hAnsi="宋体" w:eastAsia="宋体" w:cs="Times New Roman"/>
          <w:sz w:val="24"/>
          <w:szCs w:val="20"/>
        </w:rPr>
        <w:t>bmp</w:t>
      </w:r>
      <w:r>
        <w:rPr>
          <w:rFonts w:ascii="宋体" w:hAnsi="宋体" w:eastAsia="宋体" w:cs="Times New Roman"/>
          <w:sz w:val="24"/>
          <w:szCs w:val="20"/>
        </w:rPr>
        <w:t>、</w:t>
      </w:r>
      <w:r>
        <w:rPr>
          <w:rFonts w:hint="eastAsia" w:ascii="宋体" w:hAnsi="宋体" w:eastAsia="宋体" w:cs="Times New Roman"/>
          <w:sz w:val="24"/>
          <w:szCs w:val="20"/>
        </w:rPr>
        <w:t>jpg</w:t>
      </w:r>
      <w:r>
        <w:rPr>
          <w:rFonts w:ascii="宋体" w:hAnsi="宋体" w:eastAsia="宋体" w:cs="Times New Roman"/>
          <w:sz w:val="24"/>
          <w:szCs w:val="20"/>
        </w:rPr>
        <w:t>、</w:t>
      </w:r>
      <w:r>
        <w:rPr>
          <w:rFonts w:hint="eastAsia" w:ascii="宋体" w:hAnsi="宋体" w:eastAsia="宋体" w:cs="Times New Roman"/>
          <w:sz w:val="24"/>
          <w:szCs w:val="20"/>
        </w:rPr>
        <w:t>gif、png</w:t>
      </w:r>
      <w:r>
        <w:rPr>
          <w:rFonts w:ascii="宋体" w:hAnsi="宋体" w:eastAsia="宋体" w:cs="Times New Roman"/>
          <w:sz w:val="24"/>
          <w:szCs w:val="20"/>
        </w:rPr>
        <w:t>格式），尽量避免安装特殊播放程序。</w:t>
      </w:r>
    </w:p>
    <w:p w14:paraId="0CF87E08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3．除特殊要求外，图片像素大小</w:t>
      </w:r>
      <w:r>
        <w:rPr>
          <w:rFonts w:ascii="宋体" w:hAnsi="宋体" w:eastAsia="宋体" w:cs="Times New Roman"/>
          <w:sz w:val="24"/>
          <w:szCs w:val="20"/>
        </w:rPr>
        <w:t>不低于6</w:t>
      </w:r>
      <w:r>
        <w:rPr>
          <w:rFonts w:hint="eastAsia" w:ascii="宋体" w:hAnsi="宋体" w:eastAsia="宋体" w:cs="Times New Roman"/>
          <w:sz w:val="24"/>
          <w:szCs w:val="20"/>
        </w:rPr>
        <w:t>4</w:t>
      </w:r>
      <w:r>
        <w:rPr>
          <w:rFonts w:ascii="宋体" w:hAnsi="宋体" w:eastAsia="宋体" w:cs="Times New Roman"/>
          <w:sz w:val="24"/>
          <w:szCs w:val="20"/>
        </w:rPr>
        <w:t xml:space="preserve">0 </w:t>
      </w:r>
      <w:r>
        <w:rPr>
          <w:rFonts w:hint="eastAsia" w:ascii="宋体" w:hAnsi="宋体" w:eastAsia="宋体" w:cs="Times New Roman"/>
          <w:sz w:val="24"/>
          <w:szCs w:val="20"/>
        </w:rPr>
        <w:t>*</w:t>
      </w:r>
      <w:r>
        <w:rPr>
          <w:rFonts w:ascii="宋体" w:hAnsi="宋体" w:eastAsia="宋体" w:cs="Times New Roman"/>
          <w:sz w:val="24"/>
          <w:szCs w:val="20"/>
        </w:rPr>
        <w:t>480</w:t>
      </w:r>
      <w:r>
        <w:rPr>
          <w:rFonts w:hint="eastAsia" w:ascii="宋体" w:hAnsi="宋体" w:eastAsia="宋体" w:cs="Times New Roman"/>
          <w:sz w:val="24"/>
          <w:szCs w:val="20"/>
        </w:rPr>
        <w:t>（低于此标准需加以说明）。</w:t>
      </w:r>
    </w:p>
    <w:p w14:paraId="333CE63C">
      <w:pPr>
        <w:spacing w:before="156" w:beforeLines="50" w:after="156" w:afterLines="50" w:line="400" w:lineRule="exact"/>
        <w:ind w:firstLine="482" w:firstLineChars="200"/>
        <w:rPr>
          <w:rFonts w:hint="eastAsia"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四、音频</w:t>
      </w:r>
    </w:p>
    <w:p w14:paraId="7FF2FD51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</w:t>
      </w:r>
      <w:r>
        <w:rPr>
          <w:rFonts w:ascii="宋体" w:hAnsi="宋体" w:eastAsia="宋体" w:cs="Times New Roman"/>
          <w:sz w:val="24"/>
          <w:szCs w:val="20"/>
        </w:rPr>
        <w:t>数字化音频的采样频率</w:t>
      </w:r>
      <w:r>
        <w:rPr>
          <w:rFonts w:hint="eastAsia" w:ascii="宋体" w:hAnsi="宋体" w:eastAsia="宋体" w:cs="Times New Roman"/>
          <w:sz w:val="24"/>
          <w:szCs w:val="20"/>
        </w:rPr>
        <w:t>不低于48</w:t>
      </w:r>
      <w:r>
        <w:rPr>
          <w:rFonts w:ascii="宋体" w:hAnsi="宋体" w:eastAsia="宋体" w:cs="Times New Roman"/>
          <w:sz w:val="24"/>
          <w:szCs w:val="20"/>
        </w:rPr>
        <w:t xml:space="preserve"> KHZ</w:t>
      </w:r>
      <w:r>
        <w:rPr>
          <w:rFonts w:hint="eastAsia" w:ascii="宋体" w:hAnsi="宋体" w:eastAsia="宋体" w:cs="Times New Roman"/>
          <w:sz w:val="24"/>
          <w:szCs w:val="20"/>
        </w:rPr>
        <w:t>，</w:t>
      </w:r>
      <w:r>
        <w:rPr>
          <w:rFonts w:ascii="宋体" w:hAnsi="宋体" w:eastAsia="宋体" w:cs="Times New Roman"/>
          <w:sz w:val="24"/>
          <w:szCs w:val="20"/>
        </w:rPr>
        <w:t>量化位数为</w:t>
      </w:r>
      <w:r>
        <w:rPr>
          <w:rFonts w:hint="eastAsia" w:ascii="宋体" w:hAnsi="宋体" w:eastAsia="宋体" w:cs="Times New Roman"/>
          <w:sz w:val="24"/>
          <w:szCs w:val="20"/>
        </w:rPr>
        <w:t>16</w:t>
      </w:r>
      <w:r>
        <w:rPr>
          <w:rFonts w:ascii="宋体" w:hAnsi="宋体" w:eastAsia="宋体" w:cs="Times New Roman"/>
          <w:sz w:val="24"/>
          <w:szCs w:val="20"/>
        </w:rPr>
        <w:t>位</w:t>
      </w:r>
      <w:r>
        <w:rPr>
          <w:rFonts w:hint="eastAsia" w:ascii="宋体" w:hAnsi="宋体" w:eastAsia="宋体" w:cs="Times New Roman"/>
          <w:sz w:val="24"/>
          <w:szCs w:val="20"/>
        </w:rPr>
        <w:t>，</w:t>
      </w:r>
      <w:r>
        <w:rPr>
          <w:rFonts w:ascii="宋体" w:hAnsi="宋体" w:eastAsia="宋体" w:cs="Times New Roman"/>
          <w:sz w:val="24"/>
          <w:szCs w:val="20"/>
        </w:rPr>
        <w:t>声道数为双声道。</w:t>
      </w:r>
    </w:p>
    <w:p w14:paraId="2FFE656C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</w:t>
      </w:r>
      <w:r>
        <w:rPr>
          <w:rFonts w:ascii="宋体" w:hAnsi="宋体" w:eastAsia="宋体" w:cs="Times New Roman"/>
          <w:sz w:val="24"/>
          <w:szCs w:val="20"/>
        </w:rPr>
        <w:t>采用国际通行的文件格式（mp3</w:t>
      </w:r>
      <w:r>
        <w:rPr>
          <w:rFonts w:hint="eastAsia" w:ascii="宋体" w:hAnsi="宋体" w:eastAsia="宋体" w:cs="Times New Roman"/>
          <w:sz w:val="24"/>
          <w:szCs w:val="20"/>
        </w:rPr>
        <w:t>、wav或wma</w:t>
      </w:r>
      <w:r>
        <w:rPr>
          <w:rFonts w:ascii="宋体" w:hAnsi="宋体" w:eastAsia="宋体" w:cs="Times New Roman"/>
          <w:sz w:val="24"/>
          <w:szCs w:val="20"/>
        </w:rPr>
        <w:t>），尽量避免安装特殊播放程序。</w:t>
      </w:r>
    </w:p>
    <w:p w14:paraId="3E9DC19B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</w:t>
      </w:r>
      <w:r>
        <w:rPr>
          <w:rFonts w:ascii="宋体" w:hAnsi="宋体" w:eastAsia="宋体" w:cs="Times New Roman"/>
          <w:sz w:val="24"/>
          <w:szCs w:val="20"/>
        </w:rPr>
        <w:t>声音清晰、饱满、圆润，无失真、噪声杂音干扰、音量忽大忽小等现象。</w:t>
      </w:r>
    </w:p>
    <w:p w14:paraId="193EA8C4">
      <w:pPr>
        <w:spacing w:before="156" w:beforeLines="50" w:after="156" w:afterLines="50" w:line="400" w:lineRule="exact"/>
        <w:ind w:firstLine="482" w:firstLineChars="200"/>
        <w:rPr>
          <w:rFonts w:hint="eastAsia"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五、视频</w:t>
      </w:r>
    </w:p>
    <w:p w14:paraId="333E51E4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</w:t>
      </w:r>
      <w:r>
        <w:rPr>
          <w:rFonts w:ascii="宋体" w:hAnsi="宋体" w:eastAsia="宋体" w:cs="Times New Roman"/>
          <w:sz w:val="24"/>
          <w:szCs w:val="20"/>
        </w:rPr>
        <w:t>记录制式：PAL/D制式</w:t>
      </w:r>
      <w:r>
        <w:rPr>
          <w:rFonts w:hint="eastAsia" w:ascii="宋体" w:hAnsi="宋体" w:eastAsia="宋体" w:cs="Times New Roman"/>
          <w:sz w:val="24"/>
          <w:szCs w:val="20"/>
        </w:rPr>
        <w:t>；格式：wmv、asf（资源库）、mpeg/DVD（光盘）或flv（教学平台或网页）</w:t>
      </w:r>
      <w:r>
        <w:rPr>
          <w:rFonts w:ascii="宋体" w:hAnsi="宋体" w:eastAsia="宋体" w:cs="Times New Roman"/>
          <w:sz w:val="24"/>
          <w:szCs w:val="20"/>
        </w:rPr>
        <w:t>。</w:t>
      </w:r>
    </w:p>
    <w:p w14:paraId="1FA7F28B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</w:t>
      </w:r>
      <w:r>
        <w:rPr>
          <w:rFonts w:ascii="宋体" w:hAnsi="宋体" w:eastAsia="宋体" w:cs="Times New Roman"/>
          <w:sz w:val="24"/>
          <w:szCs w:val="20"/>
        </w:rPr>
        <w:t>录制节目所用的信号源，应符合《彩色电视广播GB3174－82》的规定。</w:t>
      </w:r>
    </w:p>
    <w:p w14:paraId="58B81241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</w:t>
      </w:r>
      <w:r>
        <w:rPr>
          <w:rFonts w:ascii="宋体" w:hAnsi="宋体" w:eastAsia="宋体" w:cs="Times New Roman"/>
          <w:sz w:val="24"/>
          <w:szCs w:val="20"/>
        </w:rPr>
        <w:t>视频信号与画面质量</w:t>
      </w:r>
      <w:r>
        <w:rPr>
          <w:rFonts w:hint="eastAsia" w:ascii="宋体" w:hAnsi="宋体" w:eastAsia="宋体" w:cs="Times New Roman"/>
          <w:sz w:val="24"/>
          <w:szCs w:val="20"/>
        </w:rPr>
        <w:t>。</w:t>
      </w:r>
    </w:p>
    <w:p w14:paraId="7E0A7220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（1）</w:t>
      </w:r>
      <w:r>
        <w:rPr>
          <w:rFonts w:ascii="宋体" w:hAnsi="宋体" w:eastAsia="宋体" w:cs="Times New Roman"/>
          <w:sz w:val="24"/>
          <w:szCs w:val="20"/>
        </w:rPr>
        <w:t>稳定性：全片图像同步性能稳定，无失步现象，CTL同步控制信号必须连续；图像无抖动跳跃，色彩无突变，编辑点处图像稳定。</w:t>
      </w:r>
    </w:p>
    <w:p w14:paraId="54992A10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（2）</w:t>
      </w:r>
      <w:r>
        <w:rPr>
          <w:rFonts w:ascii="宋体" w:hAnsi="宋体" w:eastAsia="宋体" w:cs="Times New Roman"/>
          <w:sz w:val="24"/>
          <w:szCs w:val="20"/>
        </w:rPr>
        <w:t>清晰度：12bit量化级数，抽样比4:2:2，码流50Mbps以上。</w:t>
      </w:r>
    </w:p>
    <w:p w14:paraId="336727BF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（3）</w:t>
      </w:r>
      <w:r>
        <w:rPr>
          <w:rFonts w:ascii="宋体" w:hAnsi="宋体" w:eastAsia="宋体" w:cs="Times New Roman"/>
          <w:sz w:val="24"/>
          <w:szCs w:val="20"/>
        </w:rPr>
        <w:t>色调：白平衡正确，无明显偏色，多机拍摄的镜头衔接处无明显色差。</w:t>
      </w:r>
    </w:p>
    <w:p w14:paraId="15F5FDFD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4．</w:t>
      </w:r>
      <w:r>
        <w:rPr>
          <w:rFonts w:ascii="宋体" w:hAnsi="宋体" w:eastAsia="宋体" w:cs="Times New Roman"/>
          <w:sz w:val="24"/>
          <w:szCs w:val="20"/>
        </w:rPr>
        <w:t>音频信号</w:t>
      </w:r>
      <w:r>
        <w:rPr>
          <w:rFonts w:hint="eastAsia" w:ascii="宋体" w:hAnsi="宋体" w:eastAsia="宋体" w:cs="Times New Roman"/>
          <w:sz w:val="24"/>
          <w:szCs w:val="20"/>
        </w:rPr>
        <w:t>。</w:t>
      </w:r>
    </w:p>
    <w:p w14:paraId="5EF05FB4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（1）</w:t>
      </w:r>
      <w:r>
        <w:rPr>
          <w:rFonts w:ascii="宋体" w:hAnsi="宋体" w:eastAsia="宋体" w:cs="Times New Roman"/>
          <w:sz w:val="24"/>
          <w:szCs w:val="20"/>
        </w:rPr>
        <w:t>声道：现场声记录于第1声道，解说声记录于第2声道 。</w:t>
      </w:r>
    </w:p>
    <w:p w14:paraId="60A22DE6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（2）</w:t>
      </w:r>
      <w:r>
        <w:rPr>
          <w:rFonts w:ascii="宋体" w:hAnsi="宋体" w:eastAsia="宋体" w:cs="Times New Roman"/>
          <w:sz w:val="24"/>
          <w:szCs w:val="20"/>
        </w:rPr>
        <w:t>音电平：标准电平为0VU，音响电平应在－10～0vU电平指数之间。声音应无明显失真、放音过冲、过弱。音频信噪比不低于48db。</w:t>
      </w:r>
      <w:r>
        <w:rPr>
          <w:rFonts w:hint="eastAsia" w:ascii="宋体" w:hAnsi="宋体" w:eastAsia="宋体" w:cs="Times New Roman"/>
          <w:sz w:val="24"/>
          <w:szCs w:val="20"/>
        </w:rPr>
        <w:t>没有</w:t>
      </w:r>
      <w:r>
        <w:rPr>
          <w:rFonts w:ascii="宋体" w:hAnsi="宋体" w:eastAsia="宋体" w:cs="Times New Roman"/>
          <w:sz w:val="24"/>
          <w:szCs w:val="20"/>
        </w:rPr>
        <w:t>交流声或其它杂音等缺陷。</w:t>
      </w:r>
    </w:p>
    <w:p w14:paraId="2030064E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（3）</w:t>
      </w:r>
      <w:r>
        <w:rPr>
          <w:rFonts w:ascii="宋体" w:hAnsi="宋体" w:eastAsia="宋体" w:cs="Times New Roman"/>
          <w:sz w:val="24"/>
          <w:szCs w:val="20"/>
        </w:rPr>
        <w:t>节目伴音清晰、饱满、圆润，无失真、噪声杂音干扰、音量忽大忽小现象。</w:t>
      </w:r>
    </w:p>
    <w:p w14:paraId="14598110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（4）</w:t>
      </w:r>
      <w:r>
        <w:rPr>
          <w:rFonts w:ascii="宋体" w:hAnsi="宋体" w:eastAsia="宋体" w:cs="Times New Roman"/>
          <w:sz w:val="24"/>
          <w:szCs w:val="20"/>
        </w:rPr>
        <w:t>音频要求：语言≤-10dBFs  瞬间=-10dBFs</w:t>
      </w:r>
    </w:p>
    <w:p w14:paraId="144C91CB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（5）</w:t>
      </w:r>
      <w:r>
        <w:rPr>
          <w:rFonts w:ascii="宋体" w:hAnsi="宋体" w:eastAsia="宋体" w:cs="Times New Roman"/>
          <w:sz w:val="24"/>
          <w:szCs w:val="20"/>
        </w:rPr>
        <w:t>音乐≤-5dBFs   瞬间=-5dBFs</w:t>
      </w:r>
    </w:p>
    <w:p w14:paraId="253F0079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（6）</w:t>
      </w:r>
      <w:r>
        <w:rPr>
          <w:rFonts w:ascii="宋体" w:hAnsi="宋体" w:eastAsia="宋体" w:cs="Times New Roman"/>
          <w:sz w:val="24"/>
          <w:szCs w:val="20"/>
        </w:rPr>
        <w:t>最低音频幅度不能长时间≤-25dBFs</w:t>
      </w:r>
    </w:p>
    <w:p w14:paraId="26149CD0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（7）</w:t>
      </w:r>
      <w:r>
        <w:rPr>
          <w:rFonts w:ascii="宋体" w:hAnsi="宋体" w:eastAsia="宋体" w:cs="Times New Roman"/>
          <w:sz w:val="24"/>
          <w:szCs w:val="20"/>
        </w:rPr>
        <w:t>解说声与现场声无明显比例失调；解说声与背景音乐无明显比例失调。声音和画面同步。</w:t>
      </w:r>
    </w:p>
    <w:p w14:paraId="6BABB598">
      <w:pPr>
        <w:spacing w:before="156" w:beforeLines="50" w:after="156" w:afterLines="50" w:line="400" w:lineRule="exact"/>
        <w:ind w:firstLine="482" w:firstLineChars="200"/>
        <w:rPr>
          <w:rFonts w:hint="eastAsia"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六、动画</w:t>
      </w:r>
    </w:p>
    <w:p w14:paraId="57CEAABA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1．动画要求是flash或几何画板制作，文件格式为swf，gsp（几何画板5.0版本）或exe</w:t>
      </w:r>
      <w:r>
        <w:rPr>
          <w:rFonts w:ascii="宋体" w:hAnsi="宋体" w:eastAsia="宋体" w:cs="Times New Roman"/>
          <w:sz w:val="24"/>
          <w:szCs w:val="20"/>
        </w:rPr>
        <w:t>，尽量避免安装特殊播放程序</w:t>
      </w:r>
      <w:r>
        <w:rPr>
          <w:rFonts w:hint="eastAsia" w:ascii="宋体" w:hAnsi="宋体" w:eastAsia="宋体" w:cs="Times New Roman"/>
          <w:sz w:val="24"/>
          <w:szCs w:val="20"/>
        </w:rPr>
        <w:t>。</w:t>
      </w:r>
    </w:p>
    <w:p w14:paraId="5D7B752D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2．动画页面色彩搭配合理，文字使用得当，各页面有合理的链接按钮。</w:t>
      </w:r>
    </w:p>
    <w:p w14:paraId="45826673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3．动画中所采用的视频为wmv，asf，flv等流媒体格式，画面播放清晰流畅。</w:t>
      </w:r>
    </w:p>
    <w:p w14:paraId="55BB9081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4．动画中的音频为mp3、wma或wav格式，声音清晰、饱满、圆润，无失真、噪声杂音干扰、音量忽大忽小等现象</w:t>
      </w:r>
      <w:r>
        <w:rPr>
          <w:rFonts w:ascii="宋体" w:hAnsi="宋体" w:eastAsia="宋体" w:cs="Times New Roman"/>
          <w:sz w:val="24"/>
          <w:szCs w:val="20"/>
        </w:rPr>
        <w:t>，声音和画面同步</w:t>
      </w:r>
      <w:r>
        <w:rPr>
          <w:rFonts w:hint="eastAsia" w:ascii="宋体" w:hAnsi="宋体" w:eastAsia="宋体" w:cs="Times New Roman"/>
          <w:sz w:val="24"/>
          <w:szCs w:val="20"/>
        </w:rPr>
        <w:t>。</w:t>
      </w:r>
    </w:p>
    <w:p w14:paraId="400D75EE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5．动画中图片压缩比不小于80%。</w:t>
      </w:r>
    </w:p>
    <w:p w14:paraId="188E9CFB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6．</w:t>
      </w:r>
      <w:r>
        <w:rPr>
          <w:rFonts w:ascii="宋体" w:hAnsi="宋体" w:eastAsia="宋体" w:cs="Times New Roman"/>
          <w:sz w:val="24"/>
          <w:szCs w:val="20"/>
        </w:rPr>
        <w:t xml:space="preserve">能够在Intel赛扬2.0GHz </w:t>
      </w:r>
      <w:r>
        <w:rPr>
          <w:rFonts w:hint="eastAsia" w:ascii="宋体" w:hAnsi="宋体" w:eastAsia="宋体" w:cs="Times New Roman"/>
          <w:sz w:val="24"/>
          <w:szCs w:val="20"/>
        </w:rPr>
        <w:t>CPU</w:t>
      </w:r>
      <w:r>
        <w:rPr>
          <w:rFonts w:ascii="宋体" w:hAnsi="宋体" w:eastAsia="宋体" w:cs="Times New Roman"/>
          <w:sz w:val="24"/>
          <w:szCs w:val="20"/>
        </w:rPr>
        <w:t>，</w:t>
      </w:r>
      <w:r>
        <w:rPr>
          <w:rFonts w:hint="eastAsia" w:ascii="宋体" w:hAnsi="宋体" w:eastAsia="宋体" w:cs="Times New Roman"/>
          <w:sz w:val="24"/>
          <w:szCs w:val="20"/>
        </w:rPr>
        <w:t>512</w:t>
      </w:r>
      <w:r>
        <w:rPr>
          <w:rFonts w:ascii="宋体" w:hAnsi="宋体" w:eastAsia="宋体" w:cs="Times New Roman"/>
          <w:sz w:val="24"/>
          <w:szCs w:val="20"/>
        </w:rPr>
        <w:t>MB DDR内存以上配置的计算机上正常、稳定运行。</w:t>
      </w:r>
      <w:r>
        <w:rPr>
          <w:rFonts w:hint="eastAsia" w:ascii="宋体" w:hAnsi="宋体" w:eastAsia="宋体" w:cs="Times New Roman"/>
          <w:sz w:val="24"/>
          <w:szCs w:val="20"/>
        </w:rPr>
        <w:t>动画</w:t>
      </w:r>
      <w:r>
        <w:rPr>
          <w:rFonts w:ascii="宋体" w:hAnsi="宋体" w:eastAsia="宋体" w:cs="Times New Roman"/>
          <w:sz w:val="24"/>
          <w:szCs w:val="20"/>
        </w:rPr>
        <w:t>播放清晰流畅</w:t>
      </w:r>
      <w:r>
        <w:rPr>
          <w:rFonts w:hint="eastAsia" w:ascii="宋体" w:hAnsi="宋体" w:eastAsia="宋体" w:cs="Times New Roman"/>
          <w:sz w:val="24"/>
          <w:szCs w:val="20"/>
        </w:rPr>
        <w:t>；</w:t>
      </w:r>
      <w:r>
        <w:rPr>
          <w:rFonts w:ascii="宋体" w:hAnsi="宋体" w:eastAsia="宋体" w:cs="Times New Roman"/>
          <w:sz w:val="24"/>
          <w:szCs w:val="20"/>
        </w:rPr>
        <w:t>各种操作按钮指示明确，所有链接均能正常打开</w:t>
      </w:r>
      <w:r>
        <w:rPr>
          <w:rFonts w:hint="eastAsia" w:ascii="宋体" w:hAnsi="宋体" w:eastAsia="宋体" w:cs="Times New Roman"/>
          <w:sz w:val="24"/>
          <w:szCs w:val="20"/>
        </w:rPr>
        <w:t>。</w:t>
      </w:r>
    </w:p>
    <w:p w14:paraId="72E81BBA">
      <w:pPr>
        <w:spacing w:before="156" w:beforeLines="50" w:after="156" w:afterLines="50" w:line="400" w:lineRule="exact"/>
        <w:ind w:firstLine="482" w:firstLineChars="200"/>
        <w:rPr>
          <w:rFonts w:hint="eastAsia"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七、PPT文稿</w:t>
      </w:r>
    </w:p>
    <w:p w14:paraId="61EBE76B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1．Microsoft Office PowerPoint 2013版本，PPT页面色彩搭配合理，各页面有合理的链接按钮。</w:t>
      </w:r>
    </w:p>
    <w:p w14:paraId="218CCCEC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2．排版规范、字体大小适中、布局合理。</w:t>
      </w:r>
    </w:p>
    <w:p w14:paraId="46A4F7D8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3．课件中所采用的视频为wmv，asf等流媒体格式，画面播放清晰流畅。</w:t>
      </w:r>
    </w:p>
    <w:p w14:paraId="140D0891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4．课件中的音频为mp3或wma格式，声音清晰、饱满、圆润，无失真、噪声杂音干扰、音量忽大忽小等现象。</w:t>
      </w:r>
    </w:p>
    <w:p w14:paraId="5B0BE7F2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5．课件中的图片为jpg格式或gif格式。要求图片影像清晰，不要带有多余的链接和其他公司或组织的标识。</w:t>
      </w:r>
    </w:p>
    <w:p w14:paraId="3A2C48F0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6．课件中的Flash动画要求插入到幻灯片中播放，如使用Shockwave Flash Object控件插入Flash对象。</w:t>
      </w:r>
    </w:p>
    <w:p w14:paraId="1C91AE42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7. 课件中链接的资源，需要链接教学过程中使用的视频、音频、图片、动画等资源，资源需要以完全嵌入的方式插入到PowerPoint 2013中，保存为1个文件。</w:t>
      </w:r>
    </w:p>
    <w:p w14:paraId="39D3BAF6">
      <w:pPr>
        <w:spacing w:before="156" w:beforeLines="50" w:after="156" w:afterLines="50" w:line="400" w:lineRule="exact"/>
        <w:ind w:firstLine="482" w:firstLineChars="200"/>
        <w:rPr>
          <w:rFonts w:hint="eastAsia"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八、网页</w:t>
      </w:r>
    </w:p>
    <w:p w14:paraId="3E7CA1C9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1．浏览器兼容性测试支持IE、火狐等主流浏览器。</w:t>
      </w:r>
    </w:p>
    <w:p w14:paraId="0D0A2EA6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2．网页在1024*768分辨率下观看效果理想，同时在其它分辨率下无变形。</w:t>
      </w:r>
    </w:p>
    <w:p w14:paraId="7B9BBF9E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</w:t>
      </w:r>
      <w:r>
        <w:rPr>
          <w:rFonts w:ascii="宋体" w:hAnsi="宋体" w:eastAsia="宋体" w:cs="Times New Roman"/>
          <w:sz w:val="24"/>
          <w:szCs w:val="20"/>
        </w:rPr>
        <w:t>板块布局合理，各部分色彩搭配自然</w:t>
      </w:r>
      <w:r>
        <w:rPr>
          <w:rFonts w:hint="eastAsia" w:ascii="宋体" w:hAnsi="宋体" w:eastAsia="宋体" w:cs="Times New Roman"/>
          <w:sz w:val="24"/>
          <w:szCs w:val="20"/>
        </w:rPr>
        <w:t>，页面格式排版要简洁美观。</w:t>
      </w:r>
    </w:p>
    <w:p w14:paraId="11E1EEDE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4．网页中链接的资源存放合理有序，确保网络传输中链接全部有效，没有无效链接。注：网页中所有的文件或文件夹名均需使用阿拉伯数字、拼音或英文，且所有文件扩展名要为小写，以避免与一些资源库软件不兼容。</w:t>
      </w:r>
    </w:p>
    <w:p w14:paraId="61183293">
      <w:pPr>
        <w:spacing w:before="156" w:beforeLines="50" w:after="156" w:afterLines="50" w:line="300" w:lineRule="auto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5．网页中视频格式为wmv、asf或flv，音频格式为mp3或wma。</w:t>
      </w:r>
    </w:p>
    <w:p w14:paraId="3512B9A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F41A7A"/>
    <w:rsid w:val="001C1F28"/>
    <w:rsid w:val="00952DEC"/>
    <w:rsid w:val="00D36025"/>
    <w:rsid w:val="00F41A7A"/>
    <w:rsid w:val="18612B09"/>
    <w:rsid w:val="25205A13"/>
    <w:rsid w:val="3F5632B2"/>
    <w:rsid w:val="642D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3334</Words>
  <Characters>3812</Characters>
  <Lines>31</Lines>
  <Paragraphs>8</Paragraphs>
  <TotalTime>1</TotalTime>
  <ScaleCrop>false</ScaleCrop>
  <LinksUpToDate>false</LinksUpToDate>
  <CharactersWithSpaces>3996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2022-05-30T02:43:00Z</dcterms:created>
  <dc:creator>rui liu</dc:creator>
  <cp:lastModifiedBy>吉林省电化教育馆</cp:lastModifiedBy>
  <dcterms:modified xsi:type="dcterms:W3CDTF">2024-09-11T06:22:51Z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916283FE35444D7CA86D314F8FBFCF29</vt:lpwstr>
  </property>
</Properties>
</file>